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Lexus presenta NX, su primera SUV en México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01 de junio del 2021.-</w:t>
      </w:r>
      <w:r w:rsidDel="00000000" w:rsidR="00000000" w:rsidRPr="00000000">
        <w:rPr>
          <w:rtl w:val="0"/>
        </w:rPr>
        <w:t xml:space="preserve"> Desde su llegada a México, Lexus ha innovado constantemente y trae a territorio nacional nuevos modelos para conquistar al mercado mexicano de los autos de lujo. La nueva NX es la última adición a la familia Lexus que estará disponible en las distribuidoras del país en verano de este año.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SUV se ofrece en tres versiones distintas: NX 250 AWD, NX 350h AW Premium y  NX 350h AWD Luxury. El primero se caracteriza por ser un modelo a gasolina con capacidad de 2.5 litros, 203 caballos de fuerza y transmisión automática de ocho velocidades. Cuenta con diez bocinas, cargador inalámbrico y techo corredizo. Con un precio inicial de $899,900 MXN, este vehículo utilitario pretende brindar la experiencia Lexus a los conductores que busquen una nueva versión de lujo y comodidad.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Por otro lado, los modelos NX 350h AW Premium y NX 530h AWD Luxury son una versión híbrida de la SUV. Con 233 caballos de fuerza, ornamentos de madera y asientos con memoria para una mayor comodidad, la versión Premium busca darle a los conductores todas las comodidades para una experiencia de manejo excepcional.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versión de lujo es un despliegue de toda la elegancia y la experiencia espléndida que se puede tener a bordo de un Lexus. Con asientos de piel, pantalla táctil de 14 pulgadas y un sistema de navegación de último nivel, la versión Premium de la NX se destaca por su poderío y por facilitar la conducción con un asistente inteligente para estacionarte y espejos retrovisores calefactables. Se complementa con un sistema de audio Mark Levinson Premium, para dar lo mejor en sonido envolvente con diecisiete bocinas.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Las tres versiones de la NX están diseñadas para complacer a todo tipo de conductor: los que buscan estabilidad, los que buscan velocidad, los que quieren recorrer grandes distancias, solos o en familia. NX llegó a México para atraer a quien esté dispuesto a manejar un auto como ningún otro.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1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B">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C">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D">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E">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 </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Paola Martínez</w:t>
      </w:r>
    </w:p>
    <w:p w:rsidR="00000000" w:rsidDel="00000000" w:rsidP="00000000" w:rsidRDefault="00000000" w:rsidRPr="00000000" w14:paraId="00000022">
      <w:pPr>
        <w:jc w:val="both"/>
        <w:rPr>
          <w:rFonts w:ascii="Calibri" w:cs="Calibri" w:eastAsia="Calibri" w:hAnsi="Calibri"/>
          <w:i w:val="1"/>
        </w:rPr>
      </w:pPr>
      <w:hyperlink r:id="rId11">
        <w:r w:rsidDel="00000000" w:rsidR="00000000" w:rsidRPr="00000000">
          <w:rPr>
            <w:rFonts w:ascii="Calibri" w:cs="Calibri" w:eastAsia="Calibri" w:hAnsi="Calibri"/>
            <w:color w:val="1155cc"/>
            <w:u w:val="single"/>
            <w:rtl w:val="0"/>
          </w:rPr>
          <w:t xml:space="preserve">paola@qprw.co</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Daniela Hermosillo</w:t>
      </w:r>
    </w:p>
    <w:p w:rsidR="00000000" w:rsidDel="00000000" w:rsidP="00000000" w:rsidRDefault="00000000" w:rsidRPr="00000000" w14:paraId="00000025">
      <w:pPr>
        <w:rPr/>
      </w:pPr>
      <w:hyperlink r:id="rId12">
        <w:r w:rsidDel="00000000" w:rsidR="00000000" w:rsidRPr="00000000">
          <w:rPr>
            <w:rFonts w:ascii="Calibri" w:cs="Calibri" w:eastAsia="Calibri" w:hAnsi="Calibri"/>
            <w:color w:val="1155cc"/>
            <w:u w:val="single"/>
            <w:rtl w:val="0"/>
          </w:rPr>
          <w:t xml:space="preserve">daniela@qprw.co</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3090863" cy="584490"/>
          <wp:effectExtent b="0" l="0" r="0" t="0"/>
          <wp:docPr id="1" name="image1.png"/>
          <a:graphic>
            <a:graphicData uri="http://schemas.openxmlformats.org/drawingml/2006/picture">
              <pic:pic>
                <pic:nvPicPr>
                  <pic:cNvPr id="0" name="image1.png"/>
                  <pic:cNvPicPr preferRelativeResize="0"/>
                </pic:nvPicPr>
                <pic:blipFill>
                  <a:blip r:embed="rId1"/>
                  <a:srcRect b="33618" l="0" r="0" t="32763"/>
                  <a:stretch>
                    <a:fillRect/>
                  </a:stretch>
                </pic:blipFill>
                <pic:spPr>
                  <a:xfrm>
                    <a:off x="0" y="0"/>
                    <a:ext cx="3090863" cy="5844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aola@qprw.co" TargetMode="External"/><Relationship Id="rId10" Type="http://schemas.openxmlformats.org/officeDocument/2006/relationships/hyperlink" Target="https://www.youtube.com/channel/UCnsxq3iwIFyMXgtkgNRrbZw" TargetMode="External"/><Relationship Id="rId13" Type="http://schemas.openxmlformats.org/officeDocument/2006/relationships/header" Target="header1.xml"/><Relationship Id="rId12" Type="http://schemas.openxmlformats.org/officeDocument/2006/relationships/hyperlink" Target="mailto:danie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